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</w:rPr>
        <w:t>显微镜</w: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的</w:t>
      </w:r>
      <w:r>
        <w:rPr>
          <w:rFonts w:hint="eastAsia" w:ascii="等线" w:hAnsi="等线" w:eastAsia="等线" w:cs="等线"/>
          <w:b/>
          <w:bCs/>
          <w:sz w:val="24"/>
          <w:szCs w:val="24"/>
        </w:rPr>
        <w:t>维护</w:t>
      </w:r>
      <w:r>
        <w:rPr>
          <w:rFonts w:hint="eastAsia" w:ascii="等线" w:hAnsi="等线" w:eastAsia="等线" w:cs="等线"/>
          <w:b/>
          <w:bCs/>
          <w:sz w:val="24"/>
          <w:szCs w:val="24"/>
          <w:lang w:eastAsia="zh-CN"/>
        </w:rPr>
        <w:t>——</w: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广州明慧</w:t>
      </w:r>
    </w:p>
    <w:p>
      <w:pPr>
        <w:rPr>
          <w:rFonts w:hint="eastAsia" w:ascii="等线" w:hAnsi="等线" w:eastAsia="等线" w:cs="等线"/>
          <w:b/>
          <w:bCs/>
          <w:color w:val="FF0000"/>
        </w:rPr>
      </w:pPr>
      <w:r>
        <w:rPr>
          <w:rFonts w:hint="eastAsia" w:ascii="等线" w:hAnsi="等线" w:eastAsia="等线" w:cs="等线"/>
          <w:b/>
          <w:bCs/>
          <w:color w:val="FF0000"/>
        </w:rPr>
        <w:t>1、经常性的维护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（１）防潮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如果室内潮湿，光学镜片就容易生霉、生雾。镜片一旦生霉，很难除去。显微镜内部的镜片由于不便擦拭，潮湿对其危害性更大。机械零件受潮后，容易生锈。为了防潮，存放显微镜时，除了选择干燥的房间外，存放地点也应离墙、离地、远离湿源。显微镜箱内应放置１～２袋硅胶作干燥剂，并经常对硅胶进行烘烤，在其颜色变粉红后，应及时烘烤，烘烤后再继续使用。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（２）防尘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光学元件表面落入灰尘，不仅影响光线通过，而且经光学系统放大后，会生成很大的污斑，影响观察。灰尘、砂粒落入机械部分，还会增加磨损，引起运动受阻，危害同样很大。因此，必须经常保持显微镜的清洁。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（３）防腐蚀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显微镜不能和具有腐蚀性的化学试剂放在一起。如硫酸、盐酸、强碱等。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（４）防热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防热的目的主要是为了避免热胀冷缩引起镜片的开胶与脱落。</w:t>
      </w:r>
    </w:p>
    <w:p>
      <w:pPr>
        <w:rPr>
          <w:rFonts w:hint="eastAsia" w:ascii="等线" w:hAnsi="等线" w:eastAsia="等线" w:cs="等线"/>
          <w:b/>
          <w:bCs/>
          <w:color w:val="FF0000"/>
        </w:rPr>
      </w:pPr>
      <w:r>
        <w:rPr>
          <w:rFonts w:hint="eastAsia" w:ascii="等线" w:hAnsi="等线" w:eastAsia="等线" w:cs="等线"/>
          <w:b/>
          <w:bCs/>
          <w:color w:val="FF0000"/>
        </w:rPr>
        <w:t>２、光学系统的擦拭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平时对显微镜的各光学部分的表面，用干净的毛笔清扫或用擦镜纸擦拭干净即可。在镜片上有抹不掉的污物、油渍或手指印时，镜片生霉、生雾以及长期停用后复用时，都需要先进行擦拭再使用。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（１）擦拭范围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目镜和聚光镜允许拆开擦拭。物镜因结构复杂，装配时又要专门的仪器来校正才能恢复原有的精度，故严禁拆开擦拭。拆卸目镜和聚光镜时，要注意以下几点：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a、小心谨慎。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b、拆卸时，要标记各元件的相对位置（可在外壳上划线作标记）、相对顺序和镜片的正反面，以防重装时弄错。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c、操作环境应保持清洁、干燥。拆卸目镜时，只要从两端旋出上下两块透镜即可。目镜内的视场光栏不能移动，否则，会使视场界线模糊。聚光镜旋开后严禁进一步分解其上透镜，因其上透镜是油浸的，出厂时经过良好的密封，再分解会破坏它的密封性能而损坏。</w:t>
      </w:r>
    </w:p>
    <w:p>
      <w:pPr>
        <w:rPr>
          <w:rFonts w:hint="eastAsia" w:ascii="等线" w:hAnsi="等线" w:eastAsia="等线" w:cs="等线"/>
          <w:b/>
          <w:bCs/>
        </w:rPr>
      </w:pPr>
      <w:r>
        <w:rPr>
          <w:rFonts w:hint="eastAsia" w:ascii="等线" w:hAnsi="等线" w:eastAsia="等线" w:cs="等线"/>
          <w:b/>
          <w:bCs/>
        </w:rPr>
        <w:t>（２）擦拭方法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先用干净的毛笔或吹风球除去镜片表面的灰尘。然后用干净的绒布从镜片中心开始向边缘作螺旋形单向运动。擦完一次把绒布换一个地方再擦，直至擦净为止。如果镜片上有油渍、污物或指印等擦不掉时，可用柳枝条裹上脱脂棉，蘸少量酒精和乙醚混合液（酒精80％，乙醚20％）擦拭。如果有较重的霉点或霉斑无法除去时，可用棉签蘸水润湿后粘上碳酸钙粉（含量为99％以上）进行擦拭。擦拭后，应将粉末清除干净。镜片是否擦净，可用镜片上的反射光线进行观察检查。要注意的是，擦拭前一定要将灰尘除净，否则，灰尘中的砂粒会将镜面划起沟纹。不准用毛巾、手帕、衣服等去擦拭镜片。酒精乙醚混合液不可用的太多，以免液体进入镜片的粘接部使镜片脱胶。镜片表面有一层紫蓝色的透光膜，不要误作污物将其擦去。</w:t>
      </w:r>
    </w:p>
    <w:p>
      <w:pPr>
        <w:rPr>
          <w:rFonts w:hint="eastAsia" w:ascii="等线" w:hAnsi="等线" w:eastAsia="等线" w:cs="等线"/>
          <w:b/>
          <w:bCs/>
          <w:color w:val="FF0000"/>
        </w:rPr>
      </w:pPr>
      <w:r>
        <w:rPr>
          <w:rFonts w:hint="eastAsia" w:ascii="等线" w:hAnsi="等线" w:eastAsia="等线" w:cs="等线"/>
          <w:b/>
          <w:bCs/>
          <w:color w:val="FF0000"/>
        </w:rPr>
        <w:t>３、机械部分的擦拭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表面涂漆部分，可用布擦拭，但不能使用酒精、乙醚等有机溶剂擦，以免脱漆。没有涂漆的部分若有锈，可用布蘸汽油擦去。擦净后重新上好防护油脂即可。</w:t>
      </w:r>
    </w:p>
    <w:p>
      <w:pPr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注：显微镜是贵重的精密仪器，使用时要加以爱惜，切勿随意拆散玩弄。</w:t>
      </w:r>
    </w:p>
    <w:p>
      <w:pPr>
        <w:rPr>
          <w:rFonts w:hint="eastAsia" w:ascii="等线" w:hAnsi="等线" w:eastAsia="等线" w:cs="等线"/>
        </w:rPr>
      </w:pPr>
    </w:p>
    <w:p>
      <w:pPr>
        <w:rPr>
          <w:rFonts w:hint="eastAsia" w:ascii="等线" w:hAnsi="等线" w:eastAsia="等线" w:cs="等线"/>
        </w:rPr>
      </w:pPr>
      <w:bookmarkStart w:id="0" w:name="_GoBack"/>
      <w:bookmarkEnd w:id="0"/>
    </w:p>
    <w:p>
      <w:pPr>
        <w:pStyle w:val="2"/>
        <w:jc w:val="left"/>
        <w:rPr>
          <w:rFonts w:hint="eastAsia" w:ascii="等线" w:hAnsi="等线" w:eastAsia="等线" w:cs="等线"/>
          <w:lang w:val="en-US"/>
        </w:rPr>
      </w:pPr>
      <w:r>
        <w:rPr>
          <w:rFonts w:hint="eastAsia" w:ascii="等线" w:hAnsi="等线" w:eastAsia="等线" w:cs="等线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720090" cy="720090"/>
            <wp:effectExtent l="0" t="0" r="3810" b="3810"/>
            <wp:wrapNone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left"/>
        <w:rPr>
          <w:rFonts w:hint="eastAsia" w:ascii="等线" w:hAnsi="等线" w:eastAsia="等线" w:cs="等线"/>
        </w:rPr>
      </w:pPr>
    </w:p>
    <w:p>
      <w:pPr>
        <w:pStyle w:val="2"/>
        <w:jc w:val="left"/>
        <w:rPr>
          <w:rFonts w:hint="eastAsia" w:ascii="等线" w:hAnsi="等线" w:eastAsia="等线" w:cs="等线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等线" w:hAnsi="等线" w:eastAsia="等线" w:cs="等线"/>
          <w:b/>
          <w:bCs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347345</wp:posOffset>
                </wp:positionV>
                <wp:extent cx="5400040" cy="0"/>
                <wp:effectExtent l="0" t="9525" r="1016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106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5pt;margin-top:27.35pt;height:0pt;width:425.2pt;mso-position-horizontal-relative:margin;z-index:251660288;mso-width-relative:page;mso-height-relative:page;" filled="f" stroked="t" coordsize="21600,21600" o:gfxdata="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wYK9tUA&#10;AAAIAQAADwAAAAAAAAABACAAAAAiAAAAZHJzL2Rvd25yZXYueG1sUEsBAhQAFAAAAAgAh07iQCRE&#10;XNjpAQAAsgMAAA4AAAAAAAAAAQAgAAAAJAEAAGRycy9lMm9Eb2MueG1sUEsFBgAAAAAGAAYAWQEA&#10;AH8FAAAAAA==&#10;">
                <v:fill on="f" focussize="0,0"/>
                <v:stroke weight="1.5pt" color="#11066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ab/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ab/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广州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市明慧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sz w:val="22"/>
          <w:szCs w:val="22"/>
        </w:rPr>
        <w:t>广州市天河区高普路97号OA云谷C201A</w:t>
      </w:r>
    </w:p>
    <w:p>
      <w:pPr>
        <w:jc w:val="left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sz w:val="22"/>
          <w:szCs w:val="22"/>
        </w:rPr>
        <w:t>邮</w:t>
      </w:r>
      <w:r>
        <w:rPr>
          <w:rFonts w:hint="eastAsia" w:ascii="等线" w:hAnsi="等线" w:eastAsia="等线" w:cs="等线"/>
          <w:sz w:val="22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 w:cs="等线"/>
          <w:sz w:val="22"/>
          <w:szCs w:val="22"/>
        </w:rPr>
        <w:t>编：510640</w:t>
      </w:r>
    </w:p>
    <w:p>
      <w:pPr>
        <w:jc w:val="left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sz w:val="22"/>
          <w:szCs w:val="22"/>
        </w:rPr>
        <w:t>电</w:t>
      </w:r>
      <w:r>
        <w:rPr>
          <w:rFonts w:hint="eastAsia" w:ascii="等线" w:hAnsi="等线" w:eastAsia="等线" w:cs="等线"/>
          <w:sz w:val="22"/>
          <w:szCs w:val="22"/>
          <w:lang w:val="en-US" w:eastAsia="zh-CN"/>
        </w:rPr>
        <w:t xml:space="preserve">  </w:t>
      </w:r>
      <w:r>
        <w:rPr>
          <w:rFonts w:hint="eastAsia" w:ascii="等线" w:hAnsi="等线" w:eastAsia="等线" w:cs="等线"/>
          <w:sz w:val="22"/>
          <w:szCs w:val="22"/>
        </w:rPr>
        <w:t>话：020-87096762</w:t>
      </w:r>
    </w:p>
    <w:p>
      <w:pPr>
        <w:numPr>
          <w:ilvl w:val="0"/>
          <w:numId w:val="0"/>
        </w:numPr>
        <w:jc w:val="left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sz w:val="22"/>
          <w:szCs w:val="22"/>
          <w:lang w:val="en-US" w:eastAsia="zh-CN"/>
        </w:rPr>
        <w:t>E-mail</w:t>
      </w:r>
      <w:r>
        <w:rPr>
          <w:rFonts w:hint="eastAsia" w:ascii="等线" w:hAnsi="等线" w:eastAsia="等线" w:cs="等线"/>
          <w:sz w:val="22"/>
          <w:szCs w:val="22"/>
        </w:rPr>
        <w:t>：</w:t>
      </w:r>
      <w:r>
        <w:rPr>
          <w:rFonts w:hint="eastAsia" w:ascii="等线" w:hAnsi="等线" w:eastAsia="等线" w:cs="等线"/>
          <w:sz w:val="22"/>
          <w:szCs w:val="22"/>
        </w:rPr>
        <w:fldChar w:fldCharType="begin"/>
      </w:r>
      <w:r>
        <w:rPr>
          <w:rFonts w:hint="eastAsia" w:ascii="等线" w:hAnsi="等线" w:eastAsia="等线" w:cs="等线"/>
          <w:sz w:val="22"/>
          <w:szCs w:val="22"/>
        </w:rPr>
        <w:instrText xml:space="preserve"> HYPERLINK "mailto:minghui88@163.com" </w:instrText>
      </w:r>
      <w:r>
        <w:rPr>
          <w:rFonts w:hint="eastAsia" w:ascii="等线" w:hAnsi="等线" w:eastAsia="等线" w:cs="等线"/>
          <w:sz w:val="22"/>
          <w:szCs w:val="22"/>
        </w:rPr>
        <w:fldChar w:fldCharType="separate"/>
      </w:r>
      <w:r>
        <w:rPr>
          <w:rFonts w:hint="eastAsia" w:ascii="等线" w:hAnsi="等线" w:eastAsia="等线" w:cs="等线"/>
          <w:sz w:val="22"/>
          <w:szCs w:val="22"/>
        </w:rPr>
        <w:t>minghui88@163.com</w:t>
      </w:r>
      <w:r>
        <w:rPr>
          <w:rFonts w:hint="eastAsia" w:ascii="等线" w:hAnsi="等线" w:eastAsia="等线" w:cs="等线"/>
          <w:sz w:val="22"/>
          <w:szCs w:val="22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  <w:sz w:val="22"/>
          <w:szCs w:val="22"/>
          <w:lang w:val="en-US" w:eastAsia="zh-CN"/>
        </w:rPr>
        <w:t>官  网</w:t>
      </w:r>
      <w:r>
        <w:rPr>
          <w:rFonts w:hint="eastAsia" w:ascii="等线" w:hAnsi="等线" w:eastAsia="等线" w:cs="等线"/>
          <w:sz w:val="22"/>
          <w:szCs w:val="22"/>
        </w:rPr>
        <w:t>：www.gzmhkj.com.cn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Tc4Y2NiOGEyNWU1YzcwNzRmYWNhZGM5MWY2NjgifQ=="/>
  </w:docVars>
  <w:rsids>
    <w:rsidRoot w:val="395E7BAF"/>
    <w:rsid w:val="0EE91EC6"/>
    <w:rsid w:val="34367069"/>
    <w:rsid w:val="395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1183</Words>
  <Characters>1245</Characters>
  <Lines>0</Lines>
  <Paragraphs>0</Paragraphs>
  <TotalTime>8</TotalTime>
  <ScaleCrop>false</ScaleCrop>
  <LinksUpToDate>false</LinksUpToDate>
  <CharactersWithSpaces>1256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2023-02-21T05:56:00Z</dcterms:created>
  <dc:creator>碗墨</dc:creator>
  <cp:lastModifiedBy>碗墨</cp:lastModifiedBy>
  <dcterms:modified xsi:type="dcterms:W3CDTF">2023-02-21T06:06:54Z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92C815436DEF40839CE7EB372C32DA87</vt:lpwstr>
  </property>
</Properties>
</file>